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2052" w14:textId="77777777" w:rsidR="00FE067E" w:rsidRPr="00061DD7" w:rsidRDefault="00CD36CF" w:rsidP="00F35C12">
      <w:pPr>
        <w:pStyle w:val="TitlePageOrigin"/>
        <w:rPr>
          <w:color w:val="auto"/>
        </w:rPr>
      </w:pPr>
      <w:r w:rsidRPr="00061DD7">
        <w:rPr>
          <w:color w:val="auto"/>
        </w:rPr>
        <w:t>WEST virginia legislature</w:t>
      </w:r>
    </w:p>
    <w:p w14:paraId="407F8D3B" w14:textId="77777777" w:rsidR="00CD36CF" w:rsidRPr="00061DD7" w:rsidRDefault="00470D6E" w:rsidP="00F35C12">
      <w:pPr>
        <w:pStyle w:val="TitlePageSession"/>
        <w:rPr>
          <w:color w:val="auto"/>
        </w:rPr>
      </w:pPr>
      <w:r w:rsidRPr="00061DD7">
        <w:rPr>
          <w:color w:val="auto"/>
        </w:rPr>
        <w:t>20</w:t>
      </w:r>
      <w:r w:rsidR="007C2B4B" w:rsidRPr="00061DD7">
        <w:rPr>
          <w:color w:val="auto"/>
        </w:rPr>
        <w:t>2</w:t>
      </w:r>
      <w:r w:rsidR="004F2845" w:rsidRPr="00061DD7">
        <w:rPr>
          <w:color w:val="auto"/>
        </w:rPr>
        <w:t>2</w:t>
      </w:r>
      <w:r w:rsidR="00CD36CF" w:rsidRPr="00061DD7">
        <w:rPr>
          <w:color w:val="auto"/>
        </w:rPr>
        <w:t xml:space="preserve"> regular session</w:t>
      </w:r>
    </w:p>
    <w:p w14:paraId="7859F28B" w14:textId="77777777" w:rsidR="00CD36CF" w:rsidRPr="00061DD7" w:rsidRDefault="009D2EF0" w:rsidP="00F35C12">
      <w:pPr>
        <w:pStyle w:val="TitlePageBillPrefix"/>
        <w:rPr>
          <w:color w:val="auto"/>
        </w:rPr>
      </w:pPr>
      <w:sdt>
        <w:sdtPr>
          <w:rPr>
            <w:color w:val="auto"/>
          </w:rPr>
          <w:tag w:val="IntroDate"/>
          <w:id w:val="-1236936958"/>
          <w:placeholder>
            <w:docPart w:val="0108B5AB5C1F43DC96DB88A9C34B5D9F"/>
          </w:placeholder>
          <w:text/>
        </w:sdtPr>
        <w:sdtEndPr/>
        <w:sdtContent>
          <w:r w:rsidR="008C4888" w:rsidRPr="00061DD7">
            <w:rPr>
              <w:color w:val="auto"/>
            </w:rPr>
            <w:t>Introduced</w:t>
          </w:r>
        </w:sdtContent>
      </w:sdt>
    </w:p>
    <w:p w14:paraId="2DBAC4D8" w14:textId="4876537F" w:rsidR="00CD36CF" w:rsidRPr="00061DD7" w:rsidRDefault="009D2EF0" w:rsidP="00F35C12">
      <w:pPr>
        <w:pStyle w:val="BillNumber"/>
        <w:rPr>
          <w:color w:val="auto"/>
        </w:rPr>
      </w:pPr>
      <w:sdt>
        <w:sdtPr>
          <w:rPr>
            <w:color w:val="auto"/>
          </w:rPr>
          <w:tag w:val="Chamber"/>
          <w:id w:val="893011969"/>
          <w:lock w:val="sdtLocked"/>
          <w:placeholder>
            <w:docPart w:val="A9FAAB6169384354B0463F6F81FF4A12"/>
          </w:placeholder>
          <w:dropDownList>
            <w:listItem w:displayText="House" w:value="House"/>
            <w:listItem w:displayText="Senate" w:value="Senate"/>
          </w:dropDownList>
        </w:sdtPr>
        <w:sdtEndPr/>
        <w:sdtContent>
          <w:r w:rsidR="00376062" w:rsidRPr="00061DD7">
            <w:rPr>
              <w:color w:val="auto"/>
            </w:rPr>
            <w:t>House</w:t>
          </w:r>
        </w:sdtContent>
      </w:sdt>
      <w:r w:rsidR="00303684" w:rsidRPr="00061DD7">
        <w:rPr>
          <w:color w:val="auto"/>
        </w:rPr>
        <w:t xml:space="preserve"> </w:t>
      </w:r>
      <w:r w:rsidR="00E379D8" w:rsidRPr="00061DD7">
        <w:rPr>
          <w:color w:val="auto"/>
        </w:rPr>
        <w:t>Bill</w:t>
      </w:r>
      <w:r w:rsidR="00376062" w:rsidRPr="00061DD7">
        <w:rPr>
          <w:color w:val="auto"/>
        </w:rPr>
        <w:t xml:space="preserve"> </w:t>
      </w:r>
      <w:sdt>
        <w:sdtPr>
          <w:rPr>
            <w:color w:val="auto"/>
          </w:rPr>
          <w:tag w:val="BNumWH"/>
          <w:id w:val="-544526420"/>
          <w:placeholder>
            <w:docPart w:val="735B2C2D610D488290E138828A5988ED"/>
          </w:placeholder>
          <w:text/>
        </w:sdtPr>
        <w:sdtEndPr/>
        <w:sdtContent>
          <w:r w:rsidR="001A2874">
            <w:rPr>
              <w:color w:val="auto"/>
            </w:rPr>
            <w:t>4551</w:t>
          </w:r>
        </w:sdtContent>
      </w:sdt>
    </w:p>
    <w:p w14:paraId="711E602B" w14:textId="4F95FF2F" w:rsidR="00CD36CF" w:rsidRPr="00061DD7" w:rsidRDefault="00CD36CF" w:rsidP="00F35C12">
      <w:pPr>
        <w:pStyle w:val="Sponsors"/>
        <w:rPr>
          <w:color w:val="auto"/>
        </w:rPr>
      </w:pPr>
      <w:r w:rsidRPr="00061DD7">
        <w:rPr>
          <w:color w:val="auto"/>
        </w:rPr>
        <w:t xml:space="preserve">By </w:t>
      </w:r>
      <w:sdt>
        <w:sdtPr>
          <w:rPr>
            <w:color w:val="auto"/>
          </w:rPr>
          <w:tag w:val="Sponsors"/>
          <w:id w:val="1589585889"/>
          <w:placeholder>
            <w:docPart w:val="D7DC457A83004E86A210BFB479EC4DD8"/>
          </w:placeholder>
          <w:text w:multiLine="1"/>
        </w:sdtPr>
        <w:sdtEndPr/>
        <w:sdtContent>
          <w:r w:rsidR="000B59FE" w:rsidRPr="00061DD7">
            <w:rPr>
              <w:color w:val="auto"/>
            </w:rPr>
            <w:t>Delegate</w:t>
          </w:r>
          <w:r w:rsidR="005A7D20">
            <w:rPr>
              <w:color w:val="auto"/>
            </w:rPr>
            <w:t>s</w:t>
          </w:r>
          <w:r w:rsidR="000B59FE" w:rsidRPr="00061DD7">
            <w:rPr>
              <w:color w:val="auto"/>
            </w:rPr>
            <w:t xml:space="preserve"> Hamrick</w:t>
          </w:r>
          <w:r w:rsidR="005A7D20">
            <w:rPr>
              <w:color w:val="auto"/>
            </w:rPr>
            <w:t>, Howell, Ellington, Ferrell, Statler, Toney, Horst, Bridges, Maynor, and Keaton</w:t>
          </w:r>
        </w:sdtContent>
      </w:sdt>
    </w:p>
    <w:p w14:paraId="2E0FE79D" w14:textId="41DB5A85" w:rsidR="00E831B3" w:rsidRPr="00061DD7" w:rsidRDefault="009D2EF0" w:rsidP="00684330">
      <w:pPr>
        <w:pStyle w:val="References"/>
        <w:ind w:left="2160" w:hanging="360"/>
        <w:rPr>
          <w:color w:val="auto"/>
        </w:rPr>
      </w:pPr>
      <w:sdt>
        <w:sdtPr>
          <w:rPr>
            <w:rFonts w:cs="Times New Roman"/>
            <w:color w:val="auto"/>
          </w:rPr>
          <w:tag w:val="References"/>
          <w:id w:val="-1043047873"/>
          <w:placeholder>
            <w:docPart w:val="9F6203B7C5ED4E3FAEEBB05A22F63517"/>
          </w:placeholder>
          <w:text w:multiLine="1"/>
        </w:sdtPr>
        <w:sdtEndPr/>
        <w:sdtContent>
          <w:r>
            <w:rPr>
              <w:rFonts w:cs="Times New Roman"/>
              <w:color w:val="auto"/>
            </w:rPr>
            <w:t>[</w:t>
          </w:r>
          <w:r w:rsidR="001A2874">
            <w:rPr>
              <w:rFonts w:cs="Times New Roman"/>
              <w:color w:val="auto"/>
            </w:rPr>
            <w:t>Introduced February 03, 2022; Referred to the Committee on Workforce Development then Education then Finance</w:t>
          </w:r>
        </w:sdtContent>
      </w:sdt>
      <w:r w:rsidR="00CD36CF" w:rsidRPr="00061DD7">
        <w:rPr>
          <w:color w:val="auto"/>
        </w:rPr>
        <w:t>]</w:t>
      </w:r>
    </w:p>
    <w:p w14:paraId="3335504C" w14:textId="1C5C597E" w:rsidR="00303684" w:rsidRPr="00061DD7" w:rsidRDefault="0000526A" w:rsidP="00F35C12">
      <w:pPr>
        <w:pStyle w:val="TitleSection"/>
        <w:rPr>
          <w:color w:val="auto"/>
        </w:rPr>
      </w:pPr>
      <w:r w:rsidRPr="00061DD7">
        <w:rPr>
          <w:color w:val="auto"/>
        </w:rPr>
        <w:lastRenderedPageBreak/>
        <w:t>A BILL</w:t>
      </w:r>
      <w:r w:rsidR="00782C44" w:rsidRPr="00061DD7">
        <w:rPr>
          <w:color w:val="auto"/>
        </w:rPr>
        <w:t xml:space="preserve"> to amend and reenact </w:t>
      </w:r>
      <w:r w:rsidR="00782C44" w:rsidRPr="00061DD7">
        <w:rPr>
          <w:rFonts w:cs="Arial"/>
          <w:color w:val="auto"/>
        </w:rPr>
        <w:t>§18B-2C-1 and §18B-2C-2 of the Code of West Virginia, 1931, as amended; and to amend said code by adding thereto a new section, designated §18B-2C-8, all relating to creating the West Virginia Warranty on Worker (WVWOW) program to</w:t>
      </w:r>
      <w:r w:rsidR="003A07C5" w:rsidRPr="00061DD7">
        <w:rPr>
          <w:rFonts w:cs="Arial"/>
          <w:color w:val="auto"/>
        </w:rPr>
        <w:t xml:space="preserve"> provide a warranty to community and technical college graduates and their employers that graduates are competent in the degree, diploma and technical certificate of credit program for which they are trained; providing scope of warranty and identifying who may redeem; directing development of procedures; and setting forth an effective date.</w:t>
      </w:r>
    </w:p>
    <w:p w14:paraId="12687237" w14:textId="12C2506A" w:rsidR="000B59FE" w:rsidRPr="00061DD7" w:rsidRDefault="00303684" w:rsidP="000B59FE">
      <w:pPr>
        <w:pStyle w:val="EnactingClause"/>
        <w:rPr>
          <w:color w:val="auto"/>
        </w:rPr>
      </w:pPr>
      <w:r w:rsidRPr="00061DD7">
        <w:rPr>
          <w:color w:val="auto"/>
        </w:rPr>
        <w:t xml:space="preserve">Be it </w:t>
      </w:r>
      <w:r w:rsidR="000B59FE" w:rsidRPr="00061DD7">
        <w:rPr>
          <w:color w:val="auto"/>
        </w:rPr>
        <w:t>enacted by the Legislature of West Virginia:</w:t>
      </w:r>
    </w:p>
    <w:p w14:paraId="4393A9BB" w14:textId="332D26DB" w:rsidR="000B59FE" w:rsidRPr="00061DD7" w:rsidRDefault="000B59FE" w:rsidP="000B59FE">
      <w:pPr>
        <w:pStyle w:val="ArticleHeading"/>
        <w:rPr>
          <w:color w:val="auto"/>
        </w:rPr>
      </w:pPr>
      <w:r w:rsidRPr="00061DD7">
        <w:rPr>
          <w:color w:val="auto"/>
        </w:rPr>
        <w:t>Article 2C. West Virginia Community and Technical college.</w:t>
      </w:r>
    </w:p>
    <w:p w14:paraId="4BFB7CE8" w14:textId="77777777" w:rsidR="00684330" w:rsidRPr="00061DD7" w:rsidRDefault="000B59FE" w:rsidP="000B59FE">
      <w:pPr>
        <w:pStyle w:val="SectionHeading"/>
        <w:rPr>
          <w:color w:val="auto"/>
        </w:rPr>
        <w:sectPr w:rsidR="00684330" w:rsidRPr="00061DD7" w:rsidSect="006843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61DD7">
        <w:rPr>
          <w:color w:val="auto"/>
        </w:rPr>
        <w:t>§18B-2C-1. Legislative findings; intent.</w:t>
      </w:r>
    </w:p>
    <w:p w14:paraId="7198F3B9" w14:textId="77777777" w:rsidR="000B59FE" w:rsidRPr="00061DD7" w:rsidRDefault="000B59FE" w:rsidP="000B59FE">
      <w:pPr>
        <w:pStyle w:val="SectionBody"/>
        <w:rPr>
          <w:color w:val="auto"/>
        </w:rPr>
      </w:pPr>
      <w:r w:rsidRPr="00061DD7">
        <w:rPr>
          <w:color w:val="auto"/>
        </w:rPr>
        <w:t>(a) Legislative findings. --</w:t>
      </w:r>
    </w:p>
    <w:p w14:paraId="13CAFD0A" w14:textId="77777777" w:rsidR="000B59FE" w:rsidRPr="00061DD7" w:rsidRDefault="000B59FE" w:rsidP="000B59FE">
      <w:pPr>
        <w:pStyle w:val="SectionBody"/>
        <w:rPr>
          <w:color w:val="auto"/>
        </w:rPr>
      </w:pPr>
      <w:r w:rsidRPr="00061DD7">
        <w:rPr>
          <w:color w:val="auto"/>
        </w:rPr>
        <w:t>(1) The Legislature hereby finds that for nearly two decades legislation has been enacted having as a principal goal creation of a strong, effective system of community and technical education capable of meeting the needs of the citizens of the state. In furtherance of that goal, the Legislature has passed the following major pieces of legislation:</w:t>
      </w:r>
    </w:p>
    <w:p w14:paraId="6D5A33C9" w14:textId="77777777" w:rsidR="000B59FE" w:rsidRPr="00061DD7" w:rsidRDefault="000B59FE" w:rsidP="000B59FE">
      <w:pPr>
        <w:pStyle w:val="SectionBody"/>
        <w:rPr>
          <w:color w:val="auto"/>
        </w:rPr>
      </w:pPr>
      <w:r w:rsidRPr="00061DD7">
        <w:rPr>
          <w:color w:val="auto"/>
        </w:rPr>
        <w:t>(A) Enrolled Senate Bill 420, passed during the regular session of one thousand nine hundred eighty-nine, reorganized the governance structure of public higher education and created the Joint Commission for Vocational-technical-occupational Education to bridge the gap between secondary and post-secondary vocational, technical, and occupational education;</w:t>
      </w:r>
    </w:p>
    <w:p w14:paraId="388186FA" w14:textId="77777777" w:rsidR="000B59FE" w:rsidRPr="00061DD7" w:rsidRDefault="000B59FE" w:rsidP="000B59FE">
      <w:pPr>
        <w:pStyle w:val="SectionBody"/>
        <w:rPr>
          <w:color w:val="auto"/>
        </w:rPr>
      </w:pPr>
      <w:r w:rsidRPr="00061DD7">
        <w:rPr>
          <w:color w:val="auto"/>
        </w:rPr>
        <w:t>(B) Enrolled Senate Bill 377, passed during the regular session of one thousand nine hundred ninety-three, adopted goals and objectives for public post-secondary education, addressed the needs of nontraditional students, directed the institutions to include an assessment of work force development needs in their master plans and established the resource allocation model and policies to aid governing boards and institutions in meeting the established goals and objectives;</w:t>
      </w:r>
    </w:p>
    <w:p w14:paraId="5C240075" w14:textId="77777777" w:rsidR="000B59FE" w:rsidRPr="00061DD7" w:rsidRDefault="000B59FE" w:rsidP="000B59FE">
      <w:pPr>
        <w:pStyle w:val="SectionBody"/>
        <w:rPr>
          <w:color w:val="auto"/>
        </w:rPr>
      </w:pPr>
      <w:r w:rsidRPr="00061DD7">
        <w:rPr>
          <w:color w:val="auto"/>
        </w:rPr>
        <w:t xml:space="preserve">(C) Enrolled Senate Bill 547, passed during the regular session of one thousand nine </w:t>
      </w:r>
      <w:r w:rsidRPr="00061DD7">
        <w:rPr>
          <w:color w:val="auto"/>
        </w:rPr>
        <w:lastRenderedPageBreak/>
        <w:t>hundred ninety-five, established goals and funding for faculty and staff salaries, required the governing boards to establish community and technical education with the administrative, programmatic and budgetary control necessary to respond to local needs and provided that community and technical college budgets be appropriated to a separate control account;</w:t>
      </w:r>
    </w:p>
    <w:p w14:paraId="6C3267F6" w14:textId="77777777" w:rsidR="000B59FE" w:rsidRPr="00061DD7" w:rsidRDefault="000B59FE" w:rsidP="000B59FE">
      <w:pPr>
        <w:pStyle w:val="SectionBody"/>
        <w:rPr>
          <w:color w:val="auto"/>
        </w:rPr>
      </w:pPr>
      <w:r w:rsidRPr="00061DD7">
        <w:rPr>
          <w:color w:val="auto"/>
        </w:rPr>
        <w:t>(D) Enrolled Senate Bill 653, passed during the regular session of two thousand, established the commission to develop a public policy agenda for higher education in conjunction with state leaders, set forth the essential conditions that must be met by each community and technical college in the state, and mandated that most component community and technical colleges move to independent accreditation.</w:t>
      </w:r>
    </w:p>
    <w:p w14:paraId="64CB31F0" w14:textId="77777777" w:rsidR="000B59FE" w:rsidRPr="00061DD7" w:rsidRDefault="000B59FE" w:rsidP="000B59FE">
      <w:pPr>
        <w:pStyle w:val="SectionBody"/>
        <w:rPr>
          <w:color w:val="auto"/>
        </w:rPr>
      </w:pPr>
      <w:r w:rsidRPr="00061DD7">
        <w:rPr>
          <w:color w:val="auto"/>
        </w:rPr>
        <w:t>(E) Enrolled Senate Bill 703, passed during the regular session of two thousand one, authorized the creation of a statewide community and technical college to provide leadership and technical support to the community and technical colleges to aid them in achieving independent accreditation, enhance their ability to serve the interests of the people of West Virginia, and focus attention on achieving established state goals.</w:t>
      </w:r>
    </w:p>
    <w:p w14:paraId="6247C1D7" w14:textId="77777777" w:rsidR="000B59FE" w:rsidRPr="00061DD7" w:rsidRDefault="000B59FE" w:rsidP="000B59FE">
      <w:pPr>
        <w:pStyle w:val="SectionBody"/>
        <w:rPr>
          <w:color w:val="auto"/>
        </w:rPr>
      </w:pPr>
      <w:r w:rsidRPr="00061DD7">
        <w:rPr>
          <w:color w:val="auto"/>
        </w:rPr>
        <w:t>(F) Enrolled House Bill 2224, passed during the regular session of two thousand three, created New River Community and Technical College of Bluefield State College as a multicampus institution from existing community and technical college components, branches and off-campus delivery sites in order to give greater cohesiveness, emphasis and priority to meeting the essential conditions pursuant to section three, article three-c of this chapter and to provide greater access to high-quality programs in the institution</w:t>
      </w:r>
      <w:r w:rsidRPr="00061DD7">
        <w:rPr>
          <w:color w:val="auto"/>
        </w:rPr>
        <w:sym w:font="Arial" w:char="0027"/>
      </w:r>
      <w:r w:rsidRPr="00061DD7">
        <w:rPr>
          <w:color w:val="auto"/>
        </w:rPr>
        <w:t>s expanded service district.</w:t>
      </w:r>
    </w:p>
    <w:p w14:paraId="75E44665" w14:textId="77777777" w:rsidR="000B59FE" w:rsidRPr="00061DD7" w:rsidRDefault="000B59FE" w:rsidP="000B59FE">
      <w:pPr>
        <w:pStyle w:val="SectionBody"/>
        <w:rPr>
          <w:color w:val="auto"/>
        </w:rPr>
      </w:pPr>
      <w:r w:rsidRPr="00061DD7">
        <w:rPr>
          <w:color w:val="auto"/>
        </w:rPr>
        <w:t>(G) Enrolled Senate Bill 448, passed during the regular session of two thousand four, established the West Virginia Council for Community and Technical College Education as a separate coordinating agency with authority over state community and technical colleges, branches, centers, regional centers, and other delivery sites with a community and technical college mission.</w:t>
      </w:r>
    </w:p>
    <w:p w14:paraId="516D831B" w14:textId="77777777" w:rsidR="000B59FE" w:rsidRPr="00061DD7" w:rsidRDefault="000B59FE" w:rsidP="000B59FE">
      <w:pPr>
        <w:pStyle w:val="SectionBody"/>
        <w:rPr>
          <w:color w:val="auto"/>
        </w:rPr>
      </w:pPr>
      <w:r w:rsidRPr="00061DD7">
        <w:rPr>
          <w:color w:val="auto"/>
        </w:rPr>
        <w:t xml:space="preserve">(2) The </w:t>
      </w:r>
      <w:r w:rsidRPr="00061DD7">
        <w:rPr>
          <w:i/>
          <w:iCs/>
          <w:color w:val="auto"/>
        </w:rPr>
        <w:t>Market Street Report</w:t>
      </w:r>
      <w:r w:rsidRPr="00061DD7">
        <w:rPr>
          <w:color w:val="auto"/>
        </w:rPr>
        <w:t xml:space="preserve">, the </w:t>
      </w:r>
      <w:r w:rsidRPr="00061DD7">
        <w:rPr>
          <w:i/>
          <w:iCs/>
          <w:color w:val="auto"/>
        </w:rPr>
        <w:t>McClenney Report</w:t>
      </w:r>
      <w:r w:rsidRPr="00061DD7">
        <w:rPr>
          <w:color w:val="auto"/>
        </w:rPr>
        <w:t xml:space="preserve">, and the </w:t>
      </w:r>
      <w:r w:rsidRPr="00061DD7">
        <w:rPr>
          <w:i/>
          <w:iCs/>
          <w:color w:val="auto"/>
        </w:rPr>
        <w:t>Implementation Board</w:t>
      </w:r>
      <w:r w:rsidRPr="00061DD7">
        <w:rPr>
          <w:color w:val="auto"/>
        </w:rPr>
        <w:t xml:space="preserve"> </w:t>
      </w:r>
      <w:r w:rsidRPr="00061DD7">
        <w:rPr>
          <w:i/>
          <w:iCs/>
          <w:color w:val="auto"/>
        </w:rPr>
        <w:lastRenderedPageBreak/>
        <w:t>Report</w:t>
      </w:r>
      <w:r w:rsidRPr="00061DD7">
        <w:rPr>
          <w:color w:val="auto"/>
        </w:rPr>
        <w:t>, cited in article two-b of this chapter, each reflects recent research and indicates that, while these legislative actions cited above have helped the state to make progress in certain areas of higher education, they have not offered a complete solution to the problems of community and technical colleges.</w:t>
      </w:r>
    </w:p>
    <w:p w14:paraId="714B8ABB" w14:textId="77777777" w:rsidR="000B59FE" w:rsidRPr="00061DD7" w:rsidRDefault="000B59FE" w:rsidP="000B59FE">
      <w:pPr>
        <w:pStyle w:val="SectionBody"/>
        <w:rPr>
          <w:color w:val="auto"/>
        </w:rPr>
      </w:pPr>
      <w:r w:rsidRPr="00061DD7">
        <w:rPr>
          <w:color w:val="auto"/>
        </w:rPr>
        <w:t xml:space="preserve">(b) </w:t>
      </w:r>
      <w:r w:rsidRPr="00061DD7">
        <w:rPr>
          <w:i/>
          <w:iCs/>
          <w:color w:val="auto"/>
        </w:rPr>
        <w:t>Intent</w:t>
      </w:r>
      <w:r w:rsidRPr="00061DD7">
        <w:rPr>
          <w:color w:val="auto"/>
        </w:rPr>
        <w:t>. -- Therefore, the intent of the Legislature in enacting these pieces of legislation is as follows:</w:t>
      </w:r>
    </w:p>
    <w:p w14:paraId="7A1625A9" w14:textId="77777777" w:rsidR="000B59FE" w:rsidRPr="00061DD7" w:rsidRDefault="000B59FE" w:rsidP="000B59FE">
      <w:pPr>
        <w:pStyle w:val="SectionBody"/>
        <w:rPr>
          <w:color w:val="auto"/>
        </w:rPr>
      </w:pPr>
      <w:r w:rsidRPr="00061DD7">
        <w:rPr>
          <w:color w:val="auto"/>
        </w:rPr>
        <w:t>(1) To provide logical steps in the process of developing strong institutions capable of delivering community and technical education to meet the needs of the state. Each act may be viewed as a building block added to the foundation laid by earlier legislation;</w:t>
      </w:r>
    </w:p>
    <w:p w14:paraId="3EAFBCCE" w14:textId="77777777" w:rsidR="000B59FE" w:rsidRPr="00061DD7" w:rsidRDefault="000B59FE" w:rsidP="000B59FE">
      <w:pPr>
        <w:pStyle w:val="SectionBody"/>
        <w:rPr>
          <w:color w:val="auto"/>
        </w:rPr>
      </w:pPr>
      <w:r w:rsidRPr="00061DD7">
        <w:rPr>
          <w:color w:val="auto"/>
        </w:rPr>
        <w:t>(2) To create a mechanism whereby the council, if necessary, can assure through its own direct action that the goals established in articles one, one-d, and three-c of this chapter are met; and</w:t>
      </w:r>
    </w:p>
    <w:p w14:paraId="76EB00C7" w14:textId="77777777" w:rsidR="000B59FE" w:rsidRPr="00061DD7" w:rsidRDefault="000B59FE" w:rsidP="000B59FE">
      <w:pPr>
        <w:pStyle w:val="SectionBody"/>
        <w:rPr>
          <w:color w:val="auto"/>
        </w:rPr>
      </w:pPr>
      <w:r w:rsidRPr="00061DD7">
        <w:rPr>
          <w:color w:val="auto"/>
        </w:rPr>
        <w:t>(3) To authorize the council to create the West Virginia Community and Technical College to serve the interests of the people of West Virginia by advancing the public policy agenda developed pursuant to article two-b of this chapter. If the council makes a determination under the provisions of this section that it is necessary or expedient to create the statewide community and technical college, the following goals are the specific focus of the college and its governing board:</w:t>
      </w:r>
    </w:p>
    <w:p w14:paraId="3089B93F" w14:textId="77777777" w:rsidR="000B59FE" w:rsidRPr="00061DD7" w:rsidRDefault="000B59FE" w:rsidP="000B59FE">
      <w:pPr>
        <w:pStyle w:val="SectionBody"/>
        <w:rPr>
          <w:color w:val="auto"/>
        </w:rPr>
      </w:pPr>
      <w:r w:rsidRPr="00061DD7">
        <w:rPr>
          <w:color w:val="auto"/>
        </w:rPr>
        <w:t>(A) To encourage development of a statewide mission that raises education attainment, increases adult literacy, promotes work force and economic development, and ensures access to post-secondary education for every region of the state;</w:t>
      </w:r>
    </w:p>
    <w:p w14:paraId="2E946F8B" w14:textId="77777777" w:rsidR="000B59FE" w:rsidRPr="00061DD7" w:rsidRDefault="000B59FE" w:rsidP="000B59FE">
      <w:pPr>
        <w:pStyle w:val="SectionBody"/>
        <w:rPr>
          <w:color w:val="auto"/>
        </w:rPr>
      </w:pPr>
      <w:r w:rsidRPr="00061DD7">
        <w:rPr>
          <w:color w:val="auto"/>
        </w:rPr>
        <w:t>(B) To provide oversight or governance of the community and technical colleges, branches, centers, regional centers, and other delivery sites with a community and technical college mission;</w:t>
      </w:r>
    </w:p>
    <w:p w14:paraId="0F87F02E" w14:textId="77777777" w:rsidR="000B59FE" w:rsidRPr="00061DD7" w:rsidRDefault="000B59FE" w:rsidP="000B59FE">
      <w:pPr>
        <w:pStyle w:val="SectionBody"/>
        <w:rPr>
          <w:color w:val="auto"/>
        </w:rPr>
      </w:pPr>
      <w:r w:rsidRPr="00061DD7">
        <w:rPr>
          <w:color w:val="auto"/>
        </w:rPr>
        <w:t xml:space="preserve">(C) To provide leadership, support and coordination; </w:t>
      </w:r>
      <w:r w:rsidRPr="00061DD7">
        <w:rPr>
          <w:strike/>
          <w:color w:val="auto"/>
        </w:rPr>
        <w:t>and</w:t>
      </w:r>
    </w:p>
    <w:p w14:paraId="78C75E6F" w14:textId="6D77F4E2" w:rsidR="000B59FE" w:rsidRPr="00061DD7" w:rsidRDefault="000B59FE" w:rsidP="000B59FE">
      <w:pPr>
        <w:pStyle w:val="SectionBody"/>
        <w:rPr>
          <w:color w:val="auto"/>
          <w:u w:val="single"/>
        </w:rPr>
      </w:pPr>
      <w:r w:rsidRPr="00061DD7">
        <w:rPr>
          <w:color w:val="auto"/>
        </w:rPr>
        <w:t xml:space="preserve">(D) To protect and expand the local autonomy and flexibility necessary for community and </w:t>
      </w:r>
      <w:r w:rsidRPr="00061DD7">
        <w:rPr>
          <w:color w:val="auto"/>
        </w:rPr>
        <w:lastRenderedPageBreak/>
        <w:t xml:space="preserve">technical colleges to succeed; </w:t>
      </w:r>
      <w:r w:rsidRPr="00061DD7">
        <w:rPr>
          <w:color w:val="auto"/>
          <w:u w:val="single"/>
        </w:rPr>
        <w:t>and</w:t>
      </w:r>
    </w:p>
    <w:p w14:paraId="099A1FB5" w14:textId="47056CF7" w:rsidR="000B59FE" w:rsidRPr="00061DD7" w:rsidRDefault="000B59FE" w:rsidP="000B59FE">
      <w:pPr>
        <w:pStyle w:val="SectionBody"/>
        <w:rPr>
          <w:color w:val="auto"/>
          <w:u w:val="single"/>
        </w:rPr>
      </w:pPr>
      <w:r w:rsidRPr="00061DD7">
        <w:rPr>
          <w:color w:val="auto"/>
          <w:u w:val="single"/>
        </w:rPr>
        <w:t>(E) To demonstrate confidence in the quality of our technical programs and assure our graduates and their employers that graduation reflects competency in the degree, diploma, and technical certification program in which they were trained by creating a West Virginia Warranty on Workers (WVWOW) program that warrants every graduate has demonstrated the knowledge and skill set as identified in the curriculum or program guide and can perform each competency.</w:t>
      </w:r>
    </w:p>
    <w:p w14:paraId="7F4E609D" w14:textId="77777777" w:rsidR="000B59FE" w:rsidRPr="00061DD7" w:rsidRDefault="000B59FE" w:rsidP="000B59FE">
      <w:pPr>
        <w:pStyle w:val="SectionHeading"/>
        <w:rPr>
          <w:color w:val="auto"/>
        </w:rPr>
      </w:pPr>
      <w:r w:rsidRPr="00061DD7">
        <w:rPr>
          <w:color w:val="auto"/>
        </w:rPr>
        <w:t>§18B-2C-2. Definitions.</w:t>
      </w:r>
    </w:p>
    <w:p w14:paraId="4E580144" w14:textId="77777777" w:rsidR="00F16A8D" w:rsidRPr="00061DD7" w:rsidRDefault="00F16A8D" w:rsidP="000B59FE">
      <w:pPr>
        <w:pStyle w:val="SectionBody"/>
        <w:rPr>
          <w:color w:val="auto"/>
        </w:rPr>
        <w:sectPr w:rsidR="00F16A8D" w:rsidRPr="00061DD7" w:rsidSect="00684330">
          <w:type w:val="continuous"/>
          <w:pgSz w:w="12240" w:h="15840" w:code="1"/>
          <w:pgMar w:top="1440" w:right="1440" w:bottom="1440" w:left="1440" w:header="720" w:footer="720" w:gutter="0"/>
          <w:lnNumType w:countBy="1" w:restart="newSection"/>
          <w:cols w:space="720"/>
          <w:docGrid w:linePitch="360"/>
        </w:sectPr>
      </w:pPr>
    </w:p>
    <w:p w14:paraId="7CDD752C" w14:textId="7878D388" w:rsidR="000B59FE" w:rsidRPr="00061DD7" w:rsidRDefault="000B59FE" w:rsidP="000B59FE">
      <w:pPr>
        <w:pStyle w:val="SectionBody"/>
        <w:rPr>
          <w:color w:val="auto"/>
        </w:rPr>
      </w:pPr>
      <w:r w:rsidRPr="00061DD7">
        <w:rPr>
          <w:color w:val="auto"/>
        </w:rPr>
        <w:t>The following words when used in this article and article two-b of this chapter have the meaning hereinafter ascribed to them unless the context clearly indicates a different meaning:</w:t>
      </w:r>
    </w:p>
    <w:p w14:paraId="14A09788" w14:textId="757DE05A" w:rsidR="000B59FE" w:rsidRPr="00061DD7" w:rsidRDefault="000B59FE" w:rsidP="000B59FE">
      <w:pPr>
        <w:pStyle w:val="SectionBody"/>
        <w:rPr>
          <w:color w:val="auto"/>
        </w:rPr>
      </w:pPr>
      <w:r w:rsidRPr="00061DD7">
        <w:rPr>
          <w:color w:val="auto"/>
        </w:rPr>
        <w:t xml:space="preserve">(a) </w:t>
      </w:r>
      <w:r w:rsidR="00C65E08" w:rsidRPr="00061DD7">
        <w:rPr>
          <w:color w:val="auto"/>
        </w:rPr>
        <w:t>“</w:t>
      </w:r>
      <w:r w:rsidRPr="00061DD7">
        <w:rPr>
          <w:color w:val="auto"/>
        </w:rPr>
        <w:t>Adult basic education</w:t>
      </w:r>
      <w:r w:rsidR="00C65E08" w:rsidRPr="00061DD7">
        <w:rPr>
          <w:color w:val="auto"/>
        </w:rPr>
        <w:t>”</w:t>
      </w:r>
      <w:r w:rsidRPr="00061DD7">
        <w:rPr>
          <w:color w:val="auto"/>
        </w:rPr>
        <w:t xml:space="preserve"> means adult basic skills education designed to improve the basic literacy needs of adults, including information processing skills, communication skills and computational skills, leading to a high school equivalency diploma, under the jurisdiction of the state Board of Education.</w:t>
      </w:r>
    </w:p>
    <w:p w14:paraId="797933BE" w14:textId="25F42CAD" w:rsidR="000B59FE" w:rsidRPr="00061DD7" w:rsidRDefault="000B59FE" w:rsidP="000B59FE">
      <w:pPr>
        <w:pStyle w:val="SectionBody"/>
        <w:rPr>
          <w:color w:val="auto"/>
          <w:u w:val="single"/>
        </w:rPr>
      </w:pPr>
      <w:r w:rsidRPr="00061DD7">
        <w:rPr>
          <w:color w:val="auto"/>
          <w:u w:val="single"/>
        </w:rPr>
        <w:t xml:space="preserve">(b) </w:t>
      </w:r>
      <w:r w:rsidR="00C65E08" w:rsidRPr="00061DD7">
        <w:rPr>
          <w:color w:val="auto"/>
          <w:u w:val="single"/>
        </w:rPr>
        <w:t>“</w:t>
      </w:r>
      <w:r w:rsidRPr="00061DD7">
        <w:rPr>
          <w:color w:val="auto"/>
          <w:u w:val="single"/>
        </w:rPr>
        <w:t>Competency</w:t>
      </w:r>
      <w:r w:rsidR="00C65E08" w:rsidRPr="00061DD7">
        <w:rPr>
          <w:color w:val="auto"/>
          <w:u w:val="single"/>
        </w:rPr>
        <w:t>”</w:t>
      </w:r>
      <w:r w:rsidRPr="00061DD7">
        <w:rPr>
          <w:color w:val="auto"/>
          <w:u w:val="single"/>
        </w:rPr>
        <w:t xml:space="preserve"> means the capability to apply or use a set of related knowledge, skills, and abilities required to successfully perform critical work functions or tasks in a defined work setting</w:t>
      </w:r>
      <w:r w:rsidR="009B54F6" w:rsidRPr="00061DD7">
        <w:rPr>
          <w:color w:val="auto"/>
          <w:u w:val="single"/>
        </w:rPr>
        <w:t xml:space="preserve"> or occupation</w:t>
      </w:r>
      <w:r w:rsidRPr="00061DD7">
        <w:rPr>
          <w:color w:val="auto"/>
          <w:u w:val="single"/>
        </w:rPr>
        <w:t>.</w:t>
      </w:r>
    </w:p>
    <w:p w14:paraId="2F010CCE" w14:textId="2030B5E3" w:rsidR="000B59FE" w:rsidRPr="00061DD7" w:rsidRDefault="009B3150" w:rsidP="000B59FE">
      <w:pPr>
        <w:pStyle w:val="SectionBody"/>
        <w:rPr>
          <w:color w:val="auto"/>
        </w:rPr>
      </w:pPr>
      <w:r w:rsidRPr="00061DD7">
        <w:rPr>
          <w:strike/>
          <w:color w:val="auto"/>
        </w:rPr>
        <w:t>(b)</w:t>
      </w:r>
      <w:r w:rsidR="000B59FE" w:rsidRPr="00061DD7">
        <w:rPr>
          <w:color w:val="auto"/>
          <w:u w:val="single"/>
        </w:rPr>
        <w:t>(c)</w:t>
      </w:r>
      <w:r w:rsidR="000B59FE" w:rsidRPr="00061DD7">
        <w:rPr>
          <w:color w:val="auto"/>
        </w:rPr>
        <w:t xml:space="preserve"> </w:t>
      </w:r>
      <w:r w:rsidR="00C65E08" w:rsidRPr="00061DD7">
        <w:rPr>
          <w:color w:val="auto"/>
        </w:rPr>
        <w:t>“</w:t>
      </w:r>
      <w:r w:rsidR="000B59FE" w:rsidRPr="00061DD7">
        <w:rPr>
          <w:color w:val="auto"/>
        </w:rPr>
        <w:t>Governing board</w:t>
      </w:r>
      <w:r w:rsidR="00C65E08" w:rsidRPr="00061DD7">
        <w:rPr>
          <w:color w:val="auto"/>
        </w:rPr>
        <w:t>”</w:t>
      </w:r>
      <w:r w:rsidR="000B59FE" w:rsidRPr="00061DD7">
        <w:rPr>
          <w:color w:val="auto"/>
        </w:rPr>
        <w:t xml:space="preserve"> means the West Virginia council for community and technical college education when acting as the governing board for the West Virginia community and technical college created pursuant to the provisions of this article.</w:t>
      </w:r>
    </w:p>
    <w:p w14:paraId="565509CF" w14:textId="78FE84AD" w:rsidR="000B59FE" w:rsidRPr="00061DD7" w:rsidRDefault="000B59FE" w:rsidP="000B59FE">
      <w:pPr>
        <w:pStyle w:val="SectionBody"/>
        <w:rPr>
          <w:color w:val="auto"/>
        </w:rPr>
      </w:pPr>
      <w:r w:rsidRPr="00061DD7">
        <w:rPr>
          <w:strike/>
          <w:color w:val="auto"/>
        </w:rPr>
        <w:t>(c)</w:t>
      </w:r>
      <w:r w:rsidRPr="00061DD7">
        <w:rPr>
          <w:color w:val="auto"/>
        </w:rPr>
        <w:t xml:space="preserve"> </w:t>
      </w:r>
      <w:r w:rsidR="009B54F6" w:rsidRPr="00061DD7">
        <w:rPr>
          <w:color w:val="auto"/>
          <w:u w:val="single"/>
        </w:rPr>
        <w:t>(d)</w:t>
      </w:r>
      <w:r w:rsidR="009B54F6" w:rsidRPr="00061DD7">
        <w:rPr>
          <w:color w:val="auto"/>
        </w:rPr>
        <w:t xml:space="preserve"> </w:t>
      </w:r>
      <w:r w:rsidR="00C65E08" w:rsidRPr="00061DD7">
        <w:rPr>
          <w:color w:val="auto"/>
        </w:rPr>
        <w:t>“</w:t>
      </w:r>
      <w:r w:rsidRPr="00061DD7">
        <w:rPr>
          <w:color w:val="auto"/>
        </w:rPr>
        <w:t>Post-secondary vocational-technical-occupational education</w:t>
      </w:r>
      <w:r w:rsidR="00C65E08" w:rsidRPr="00061DD7">
        <w:rPr>
          <w:color w:val="auto"/>
        </w:rPr>
        <w:t>”</w:t>
      </w:r>
      <w:r w:rsidRPr="00061DD7">
        <w:rPr>
          <w:color w:val="auto"/>
        </w:rPr>
        <w:t xml:space="preserve"> means any course or program beyond the high school level that results in, or may result in, the awarding of a two-year associate degree, certificate or other credential from an institution under the jurisdiction of a governing board or other public or private education provider.</w:t>
      </w:r>
    </w:p>
    <w:p w14:paraId="17663546" w14:textId="5B6C9256" w:rsidR="000B59FE" w:rsidRPr="00061DD7" w:rsidRDefault="000B59FE" w:rsidP="000B59FE">
      <w:pPr>
        <w:pStyle w:val="SectionBody"/>
        <w:rPr>
          <w:color w:val="auto"/>
        </w:rPr>
      </w:pPr>
      <w:r w:rsidRPr="00061DD7">
        <w:rPr>
          <w:strike/>
          <w:color w:val="auto"/>
        </w:rPr>
        <w:t>(d)</w:t>
      </w:r>
      <w:r w:rsidRPr="00061DD7">
        <w:rPr>
          <w:color w:val="auto"/>
        </w:rPr>
        <w:t xml:space="preserve"> </w:t>
      </w:r>
      <w:r w:rsidR="009B54F6" w:rsidRPr="00061DD7">
        <w:rPr>
          <w:color w:val="auto"/>
          <w:u w:val="single"/>
        </w:rPr>
        <w:t>(e)</w:t>
      </w:r>
      <w:r w:rsidR="009B54F6" w:rsidRPr="00061DD7">
        <w:rPr>
          <w:color w:val="auto"/>
        </w:rPr>
        <w:t xml:space="preserve"> </w:t>
      </w:r>
      <w:r w:rsidR="00C65E08" w:rsidRPr="00061DD7">
        <w:rPr>
          <w:color w:val="auto"/>
        </w:rPr>
        <w:t>“</w:t>
      </w:r>
      <w:r w:rsidRPr="00061DD7">
        <w:rPr>
          <w:color w:val="auto"/>
        </w:rPr>
        <w:t>Secondary vocational-technical-occupational education</w:t>
      </w:r>
      <w:r w:rsidR="00C65E08" w:rsidRPr="00061DD7">
        <w:rPr>
          <w:color w:val="auto"/>
        </w:rPr>
        <w:t>”</w:t>
      </w:r>
      <w:r w:rsidRPr="00061DD7">
        <w:rPr>
          <w:color w:val="auto"/>
        </w:rPr>
        <w:t xml:space="preserve"> means any course or program at the high school level that results in, or may result in, a high school diploma or its equivalent, under the jurisdiction of the </w:t>
      </w:r>
      <w:r w:rsidR="00767A96" w:rsidRPr="00061DD7">
        <w:rPr>
          <w:color w:val="auto"/>
        </w:rPr>
        <w:t>S</w:t>
      </w:r>
      <w:r w:rsidRPr="00061DD7">
        <w:rPr>
          <w:color w:val="auto"/>
        </w:rPr>
        <w:t>tate Board of Education.</w:t>
      </w:r>
    </w:p>
    <w:p w14:paraId="296D6C45" w14:textId="1650FE76" w:rsidR="009B54F6" w:rsidRPr="00061DD7" w:rsidRDefault="009B54F6" w:rsidP="000B59FE">
      <w:pPr>
        <w:pStyle w:val="SectionBody"/>
        <w:rPr>
          <w:color w:val="auto"/>
        </w:rPr>
      </w:pPr>
      <w:r w:rsidRPr="00061DD7">
        <w:rPr>
          <w:color w:val="auto"/>
        </w:rPr>
        <w:lastRenderedPageBreak/>
        <w:t xml:space="preserve"> </w:t>
      </w:r>
      <w:r w:rsidRPr="00061DD7">
        <w:rPr>
          <w:color w:val="auto"/>
          <w:u w:val="single"/>
        </w:rPr>
        <w:t xml:space="preserve">(f) </w:t>
      </w:r>
      <w:r w:rsidR="00C65E08" w:rsidRPr="00061DD7">
        <w:rPr>
          <w:color w:val="auto"/>
          <w:u w:val="single"/>
        </w:rPr>
        <w:t>“</w:t>
      </w:r>
      <w:r w:rsidRPr="00061DD7">
        <w:rPr>
          <w:color w:val="auto"/>
          <w:u w:val="single"/>
        </w:rPr>
        <w:t>Skill set</w:t>
      </w:r>
      <w:r w:rsidR="00C65E08" w:rsidRPr="00061DD7">
        <w:rPr>
          <w:color w:val="auto"/>
          <w:u w:val="single"/>
        </w:rPr>
        <w:t>”</w:t>
      </w:r>
      <w:r w:rsidRPr="00061DD7">
        <w:rPr>
          <w:color w:val="auto"/>
          <w:u w:val="single"/>
        </w:rPr>
        <w:t xml:space="preserve"> means specific tasks associated with competencies the student should be able to perform successfully at the completion of the program/course.</w:t>
      </w:r>
      <w:r w:rsidR="000B59FE" w:rsidRPr="00061DD7">
        <w:rPr>
          <w:color w:val="auto"/>
        </w:rPr>
        <w:t xml:space="preserve"> </w:t>
      </w:r>
    </w:p>
    <w:p w14:paraId="4716878F" w14:textId="65ED0C77" w:rsidR="000B59FE" w:rsidRPr="00061DD7" w:rsidRDefault="00BC45F2" w:rsidP="000B59FE">
      <w:pPr>
        <w:pStyle w:val="SectionBody"/>
        <w:rPr>
          <w:color w:val="auto"/>
        </w:rPr>
      </w:pPr>
      <w:r w:rsidRPr="00061DD7">
        <w:rPr>
          <w:strike/>
          <w:color w:val="auto"/>
        </w:rPr>
        <w:t>(e)</w:t>
      </w:r>
      <w:r w:rsidR="009B54F6" w:rsidRPr="00061DD7">
        <w:rPr>
          <w:color w:val="auto"/>
          <w:u w:val="single"/>
        </w:rPr>
        <w:t>(g)</w:t>
      </w:r>
      <w:r w:rsidR="009B54F6" w:rsidRPr="00061DD7">
        <w:rPr>
          <w:color w:val="auto"/>
        </w:rPr>
        <w:t xml:space="preserve"> </w:t>
      </w:r>
      <w:r w:rsidR="00C65E08" w:rsidRPr="00061DD7">
        <w:rPr>
          <w:color w:val="auto"/>
        </w:rPr>
        <w:t>“</w:t>
      </w:r>
      <w:r w:rsidR="000B59FE" w:rsidRPr="00061DD7">
        <w:rPr>
          <w:color w:val="auto"/>
        </w:rPr>
        <w:t>Vice chancellor</w:t>
      </w:r>
      <w:r w:rsidR="00C65E08" w:rsidRPr="00061DD7">
        <w:rPr>
          <w:color w:val="auto"/>
        </w:rPr>
        <w:t>”</w:t>
      </w:r>
      <w:r w:rsidR="000B59FE" w:rsidRPr="00061DD7">
        <w:rPr>
          <w:color w:val="auto"/>
        </w:rPr>
        <w:t xml:space="preserve"> means the vice chancellor for community and technical college education and work force development pursuant to section five, article one-b of this chapter.</w:t>
      </w:r>
    </w:p>
    <w:p w14:paraId="465B5D94" w14:textId="55566AA5" w:rsidR="000B59FE" w:rsidRPr="00061DD7" w:rsidRDefault="000B59FE" w:rsidP="000B59FE">
      <w:pPr>
        <w:pStyle w:val="SectionBody"/>
        <w:rPr>
          <w:color w:val="auto"/>
        </w:rPr>
      </w:pPr>
      <w:r w:rsidRPr="00061DD7">
        <w:rPr>
          <w:strike/>
          <w:color w:val="auto"/>
        </w:rPr>
        <w:t>(f)</w:t>
      </w:r>
      <w:r w:rsidRPr="00061DD7">
        <w:rPr>
          <w:color w:val="auto"/>
        </w:rPr>
        <w:t xml:space="preserve"> </w:t>
      </w:r>
      <w:r w:rsidR="009B54F6" w:rsidRPr="00061DD7">
        <w:rPr>
          <w:color w:val="auto"/>
          <w:u w:val="single"/>
        </w:rPr>
        <w:t>(h)</w:t>
      </w:r>
      <w:r w:rsidR="009B54F6" w:rsidRPr="00061DD7">
        <w:rPr>
          <w:color w:val="auto"/>
        </w:rPr>
        <w:t xml:space="preserve"> </w:t>
      </w:r>
      <w:r w:rsidR="00C65E08" w:rsidRPr="00061DD7">
        <w:rPr>
          <w:color w:val="auto"/>
        </w:rPr>
        <w:t>“</w:t>
      </w:r>
      <w:r w:rsidRPr="00061DD7">
        <w:rPr>
          <w:color w:val="auto"/>
        </w:rPr>
        <w:t>West Virginia council for community and technical college education</w:t>
      </w:r>
      <w:r w:rsidR="00C65E08" w:rsidRPr="00061DD7">
        <w:rPr>
          <w:color w:val="auto"/>
        </w:rPr>
        <w:t>”</w:t>
      </w:r>
      <w:r w:rsidRPr="00061DD7">
        <w:rPr>
          <w:color w:val="auto"/>
        </w:rPr>
        <w:t xml:space="preserve"> or </w:t>
      </w:r>
      <w:r w:rsidR="00C65E08" w:rsidRPr="00061DD7">
        <w:rPr>
          <w:color w:val="auto"/>
        </w:rPr>
        <w:t>“</w:t>
      </w:r>
      <w:r w:rsidRPr="00061DD7">
        <w:rPr>
          <w:color w:val="auto"/>
        </w:rPr>
        <w:t>council</w:t>
      </w:r>
      <w:r w:rsidR="00C65E08" w:rsidRPr="00061DD7">
        <w:rPr>
          <w:color w:val="auto"/>
        </w:rPr>
        <w:t>”</w:t>
      </w:r>
      <w:r w:rsidRPr="00061DD7">
        <w:rPr>
          <w:color w:val="auto"/>
        </w:rPr>
        <w:t xml:space="preserve"> means the council established pursuant to section three, article two-b of this chapter.</w:t>
      </w:r>
    </w:p>
    <w:p w14:paraId="3DF93FBB" w14:textId="399FCE55" w:rsidR="000B59FE" w:rsidRPr="00061DD7" w:rsidRDefault="000B59FE" w:rsidP="000B59FE">
      <w:pPr>
        <w:pStyle w:val="SectionBody"/>
        <w:rPr>
          <w:color w:val="auto"/>
        </w:rPr>
      </w:pPr>
      <w:r w:rsidRPr="00061DD7">
        <w:rPr>
          <w:strike/>
          <w:color w:val="auto"/>
        </w:rPr>
        <w:t>(g)</w:t>
      </w:r>
      <w:r w:rsidRPr="00061DD7">
        <w:rPr>
          <w:color w:val="auto"/>
        </w:rPr>
        <w:t xml:space="preserve"> </w:t>
      </w:r>
      <w:r w:rsidR="009B54F6" w:rsidRPr="00061DD7">
        <w:rPr>
          <w:color w:val="auto"/>
          <w:u w:val="single"/>
        </w:rPr>
        <w:t>(i)</w:t>
      </w:r>
      <w:r w:rsidR="009B54F6" w:rsidRPr="00061DD7">
        <w:rPr>
          <w:color w:val="auto"/>
        </w:rPr>
        <w:t xml:space="preserve"> </w:t>
      </w:r>
      <w:r w:rsidR="00C65E08" w:rsidRPr="00061DD7">
        <w:rPr>
          <w:color w:val="auto"/>
        </w:rPr>
        <w:t>“</w:t>
      </w:r>
      <w:r w:rsidRPr="00061DD7">
        <w:rPr>
          <w:color w:val="auto"/>
        </w:rPr>
        <w:t>West Virginia community and technical college</w:t>
      </w:r>
      <w:r w:rsidR="00C65E08" w:rsidRPr="00061DD7">
        <w:rPr>
          <w:color w:val="auto"/>
        </w:rPr>
        <w:t>”</w:t>
      </w:r>
      <w:r w:rsidRPr="00061DD7">
        <w:rPr>
          <w:color w:val="auto"/>
        </w:rPr>
        <w:t xml:space="preserve"> or </w:t>
      </w:r>
      <w:r w:rsidR="00C65E08" w:rsidRPr="00061DD7">
        <w:rPr>
          <w:color w:val="auto"/>
        </w:rPr>
        <w:t>“</w:t>
      </w:r>
      <w:r w:rsidRPr="00061DD7">
        <w:rPr>
          <w:color w:val="auto"/>
        </w:rPr>
        <w:t>college</w:t>
      </w:r>
      <w:r w:rsidR="00C65E08" w:rsidRPr="00061DD7">
        <w:rPr>
          <w:color w:val="auto"/>
        </w:rPr>
        <w:t>”</w:t>
      </w:r>
      <w:r w:rsidRPr="00061DD7">
        <w:rPr>
          <w:color w:val="auto"/>
        </w:rPr>
        <w:t xml:space="preserve"> means the statewide, accredited entity created pursuant to the provisions of this article.</w:t>
      </w:r>
    </w:p>
    <w:p w14:paraId="614DA36F" w14:textId="20149844" w:rsidR="00F16A8D" w:rsidRPr="00061DD7" w:rsidRDefault="00F16A8D" w:rsidP="00F16A8D">
      <w:pPr>
        <w:pStyle w:val="SectionHeading"/>
        <w:rPr>
          <w:color w:val="auto"/>
          <w:u w:val="single"/>
        </w:rPr>
      </w:pPr>
      <w:r w:rsidRPr="00061DD7">
        <w:rPr>
          <w:rFonts w:cs="Arial"/>
          <w:color w:val="auto"/>
          <w:u w:val="single"/>
        </w:rPr>
        <w:t>§</w:t>
      </w:r>
      <w:r w:rsidRPr="00061DD7">
        <w:rPr>
          <w:color w:val="auto"/>
          <w:u w:val="single"/>
        </w:rPr>
        <w:t xml:space="preserve">18B-2C-8. West Virginia </w:t>
      </w:r>
      <w:r w:rsidR="00D23FD4" w:rsidRPr="00061DD7">
        <w:rPr>
          <w:color w:val="auto"/>
          <w:u w:val="single"/>
        </w:rPr>
        <w:t>w</w:t>
      </w:r>
      <w:r w:rsidRPr="00061DD7">
        <w:rPr>
          <w:color w:val="auto"/>
          <w:u w:val="single"/>
        </w:rPr>
        <w:t xml:space="preserve">arranty on </w:t>
      </w:r>
      <w:r w:rsidR="00D23FD4" w:rsidRPr="00061DD7">
        <w:rPr>
          <w:color w:val="auto"/>
          <w:u w:val="single"/>
        </w:rPr>
        <w:t>w</w:t>
      </w:r>
      <w:r w:rsidRPr="00061DD7">
        <w:rPr>
          <w:color w:val="auto"/>
          <w:u w:val="single"/>
        </w:rPr>
        <w:t>orkers</w:t>
      </w:r>
      <w:r w:rsidR="00D23FD4" w:rsidRPr="00061DD7">
        <w:rPr>
          <w:color w:val="auto"/>
          <w:u w:val="single"/>
        </w:rPr>
        <w:t xml:space="preserve"> program; scope of </w:t>
      </w:r>
      <w:r w:rsidR="00A1293F" w:rsidRPr="00061DD7">
        <w:rPr>
          <w:color w:val="auto"/>
          <w:u w:val="single"/>
        </w:rPr>
        <w:t>warrant</w:t>
      </w:r>
      <w:r w:rsidR="00D23FD4" w:rsidRPr="00061DD7">
        <w:rPr>
          <w:color w:val="auto"/>
          <w:u w:val="single"/>
        </w:rPr>
        <w:t>y;</w:t>
      </w:r>
      <w:r w:rsidR="00A1293F" w:rsidRPr="00061DD7">
        <w:rPr>
          <w:color w:val="auto"/>
          <w:u w:val="single"/>
        </w:rPr>
        <w:t xml:space="preserve"> who may redeem; development </w:t>
      </w:r>
      <w:r w:rsidR="006E377D" w:rsidRPr="00061DD7">
        <w:rPr>
          <w:color w:val="auto"/>
          <w:u w:val="single"/>
        </w:rPr>
        <w:t>o</w:t>
      </w:r>
      <w:r w:rsidR="00A1293F" w:rsidRPr="00061DD7">
        <w:rPr>
          <w:color w:val="auto"/>
          <w:u w:val="single"/>
        </w:rPr>
        <w:t>f procedures; and effective date</w:t>
      </w:r>
      <w:r w:rsidRPr="00061DD7">
        <w:rPr>
          <w:color w:val="auto"/>
          <w:u w:val="single"/>
        </w:rPr>
        <w:t>.</w:t>
      </w:r>
    </w:p>
    <w:p w14:paraId="12448119" w14:textId="77777777" w:rsidR="00F16A8D" w:rsidRPr="00061DD7" w:rsidRDefault="00F16A8D" w:rsidP="00F16A8D">
      <w:pPr>
        <w:pStyle w:val="SectionBody"/>
        <w:rPr>
          <w:color w:val="auto"/>
        </w:rPr>
        <w:sectPr w:rsidR="00F16A8D" w:rsidRPr="00061DD7" w:rsidSect="00684330">
          <w:type w:val="continuous"/>
          <w:pgSz w:w="12240" w:h="15840" w:code="1"/>
          <w:pgMar w:top="1440" w:right="1440" w:bottom="1440" w:left="1440" w:header="720" w:footer="720" w:gutter="0"/>
          <w:lnNumType w:countBy="1" w:restart="newSection"/>
          <w:cols w:space="720"/>
          <w:docGrid w:linePitch="360"/>
        </w:sectPr>
      </w:pPr>
    </w:p>
    <w:p w14:paraId="53700358" w14:textId="3DFE6D35" w:rsidR="00C33014" w:rsidRPr="00061DD7" w:rsidRDefault="00F16A8D" w:rsidP="00F16A8D">
      <w:pPr>
        <w:pStyle w:val="SectionBody"/>
        <w:rPr>
          <w:color w:val="auto"/>
          <w:u w:val="single"/>
        </w:rPr>
      </w:pPr>
      <w:r w:rsidRPr="00061DD7">
        <w:rPr>
          <w:color w:val="auto"/>
          <w:u w:val="single"/>
        </w:rPr>
        <w:t xml:space="preserve">(a) As a demonstration of confidence in the quality of our community college and technical college programs, the West Virginia </w:t>
      </w:r>
      <w:r w:rsidR="00797519" w:rsidRPr="00061DD7">
        <w:rPr>
          <w:color w:val="auto"/>
          <w:u w:val="single"/>
        </w:rPr>
        <w:t>C</w:t>
      </w:r>
      <w:r w:rsidRPr="00061DD7">
        <w:rPr>
          <w:color w:val="auto"/>
          <w:u w:val="single"/>
        </w:rPr>
        <w:t xml:space="preserve">ouncil for </w:t>
      </w:r>
      <w:r w:rsidR="00797519" w:rsidRPr="00061DD7">
        <w:rPr>
          <w:color w:val="auto"/>
          <w:u w:val="single"/>
        </w:rPr>
        <w:t>C</w:t>
      </w:r>
      <w:r w:rsidRPr="00061DD7">
        <w:rPr>
          <w:color w:val="auto"/>
          <w:u w:val="single"/>
        </w:rPr>
        <w:t xml:space="preserve">ommunity and </w:t>
      </w:r>
      <w:r w:rsidR="00797519" w:rsidRPr="00061DD7">
        <w:rPr>
          <w:color w:val="auto"/>
          <w:u w:val="single"/>
        </w:rPr>
        <w:t>T</w:t>
      </w:r>
      <w:r w:rsidRPr="00061DD7">
        <w:rPr>
          <w:color w:val="auto"/>
          <w:u w:val="single"/>
        </w:rPr>
        <w:t xml:space="preserve">echnical </w:t>
      </w:r>
      <w:r w:rsidR="00797519" w:rsidRPr="00061DD7">
        <w:rPr>
          <w:color w:val="auto"/>
          <w:u w:val="single"/>
        </w:rPr>
        <w:t>C</w:t>
      </w:r>
      <w:r w:rsidRPr="00061DD7">
        <w:rPr>
          <w:color w:val="auto"/>
          <w:u w:val="single"/>
        </w:rPr>
        <w:t xml:space="preserve">ollege </w:t>
      </w:r>
      <w:r w:rsidR="00797519" w:rsidRPr="00061DD7">
        <w:rPr>
          <w:color w:val="auto"/>
          <w:u w:val="single"/>
        </w:rPr>
        <w:t>E</w:t>
      </w:r>
      <w:r w:rsidRPr="00061DD7">
        <w:rPr>
          <w:color w:val="auto"/>
          <w:u w:val="single"/>
        </w:rPr>
        <w:t xml:space="preserve">ducation shall create the West Virginia Warranty on Workers (WVWOW) program to assure graduates and their employers that graduation reflects competency in the degree, diploma </w:t>
      </w:r>
      <w:r w:rsidR="00797519" w:rsidRPr="00061DD7">
        <w:rPr>
          <w:color w:val="auto"/>
          <w:u w:val="single"/>
        </w:rPr>
        <w:t xml:space="preserve">or </w:t>
      </w:r>
      <w:r w:rsidRPr="00061DD7">
        <w:rPr>
          <w:color w:val="auto"/>
          <w:u w:val="single"/>
        </w:rPr>
        <w:t>technical certificate of credit program in which they are trained.</w:t>
      </w:r>
    </w:p>
    <w:p w14:paraId="549AFEF4" w14:textId="6BD8D3AB" w:rsidR="00F16A8D" w:rsidRPr="00061DD7" w:rsidRDefault="00F16A8D" w:rsidP="00F16A8D">
      <w:pPr>
        <w:pStyle w:val="SectionBody"/>
        <w:rPr>
          <w:color w:val="auto"/>
          <w:u w:val="single"/>
        </w:rPr>
      </w:pPr>
      <w:r w:rsidRPr="00061DD7">
        <w:rPr>
          <w:color w:val="auto"/>
          <w:u w:val="single"/>
        </w:rPr>
        <w:t>(b) The WVWOW program warranty guarantees that the graduate has demonstrated the knowledge and skill set as identified in the curriculum or program guide and can perform each competency.</w:t>
      </w:r>
    </w:p>
    <w:p w14:paraId="5FCB2731" w14:textId="22B40AF7" w:rsidR="00F16A8D" w:rsidRPr="00061DD7" w:rsidRDefault="00F16A8D" w:rsidP="00F16A8D">
      <w:pPr>
        <w:pStyle w:val="SectionBody"/>
        <w:rPr>
          <w:color w:val="auto"/>
          <w:u w:val="single"/>
        </w:rPr>
      </w:pPr>
      <w:r w:rsidRPr="00061DD7">
        <w:rPr>
          <w:color w:val="auto"/>
          <w:u w:val="single"/>
        </w:rPr>
        <w:t>(c) Any program graduate who is identified to lack such knowledge and skill set shall be retrained at no cost to the employer or the graduate for tuition fees.</w:t>
      </w:r>
    </w:p>
    <w:p w14:paraId="50F76200" w14:textId="5ECAB3F0" w:rsidR="00F16A8D" w:rsidRPr="00061DD7" w:rsidRDefault="00F16A8D" w:rsidP="00F16A8D">
      <w:pPr>
        <w:pStyle w:val="SectionBody"/>
        <w:rPr>
          <w:color w:val="auto"/>
          <w:u w:val="single"/>
        </w:rPr>
      </w:pPr>
      <w:r w:rsidRPr="00061DD7">
        <w:rPr>
          <w:color w:val="auto"/>
          <w:u w:val="single"/>
        </w:rPr>
        <w:t>(d) The warranty provided under this section may be redeemed by an employer in conjunction with a graduate employee if the graduate employee is unable to perform one or more of the competencies contained in the applicable curriculum or program guide in effect at the time of the individual’s graduation.</w:t>
      </w:r>
    </w:p>
    <w:p w14:paraId="0DC79367" w14:textId="4D192622" w:rsidR="00D3443F" w:rsidRPr="00061DD7" w:rsidRDefault="00F16A8D" w:rsidP="00D3443F">
      <w:pPr>
        <w:pStyle w:val="SectionBody"/>
        <w:rPr>
          <w:color w:val="auto"/>
          <w:u w:val="single"/>
        </w:rPr>
      </w:pPr>
      <w:r w:rsidRPr="00061DD7">
        <w:rPr>
          <w:color w:val="auto"/>
          <w:u w:val="single"/>
        </w:rPr>
        <w:t xml:space="preserve">(e) The warranty </w:t>
      </w:r>
      <w:r w:rsidR="00D3443F" w:rsidRPr="00061DD7">
        <w:rPr>
          <w:color w:val="auto"/>
          <w:u w:val="single"/>
        </w:rPr>
        <w:t xml:space="preserve">is applicable only to graduates of a technical degree, diploma, or certificate of credit who entered the program after this section’s effective date and shall remain in </w:t>
      </w:r>
      <w:r w:rsidR="00D3443F" w:rsidRPr="00061DD7">
        <w:rPr>
          <w:color w:val="auto"/>
          <w:u w:val="single"/>
        </w:rPr>
        <w:lastRenderedPageBreak/>
        <w:t xml:space="preserve">effect for </w:t>
      </w:r>
      <w:r w:rsidR="008D3358">
        <w:rPr>
          <w:color w:val="auto"/>
          <w:u w:val="single"/>
        </w:rPr>
        <w:t>two</w:t>
      </w:r>
      <w:r w:rsidR="00D3443F" w:rsidRPr="00061DD7">
        <w:rPr>
          <w:color w:val="auto"/>
          <w:u w:val="single"/>
        </w:rPr>
        <w:t xml:space="preserve"> year</w:t>
      </w:r>
      <w:r w:rsidR="008D3358">
        <w:rPr>
          <w:color w:val="auto"/>
          <w:u w:val="single"/>
        </w:rPr>
        <w:t>s</w:t>
      </w:r>
      <w:r w:rsidR="00D3443F" w:rsidRPr="00061DD7">
        <w:rPr>
          <w:color w:val="auto"/>
          <w:u w:val="single"/>
        </w:rPr>
        <w:t xml:space="preserve"> immediately following the date of an individual’s graduation or completion of certificate. The warranty shall be honored by the community college or technical college from which the individual graduated. In extenuating circumstances, as determined by the</w:t>
      </w:r>
      <w:r w:rsidR="00782C44" w:rsidRPr="00061DD7">
        <w:rPr>
          <w:color w:val="auto"/>
          <w:u w:val="single"/>
        </w:rPr>
        <w:t xml:space="preserve"> </w:t>
      </w:r>
      <w:r w:rsidR="00D3443F" w:rsidRPr="00061DD7">
        <w:rPr>
          <w:color w:val="auto"/>
          <w:u w:val="single"/>
        </w:rPr>
        <w:t>vice chancellor, the graduate may be retrained by a school that did not issue the original certificate or diploma. In this circumstance, the originating school shall reimburse the school that retrains for the cost of that retraining. The employer and graduate do not pay the tuition costs for the retraining.</w:t>
      </w:r>
    </w:p>
    <w:p w14:paraId="4A4F89B4" w14:textId="147F3AF5" w:rsidR="00D3443F" w:rsidRPr="00061DD7" w:rsidRDefault="00D3443F" w:rsidP="00D23FD4">
      <w:pPr>
        <w:pStyle w:val="SectionBody"/>
        <w:rPr>
          <w:color w:val="auto"/>
          <w:u w:val="single"/>
        </w:rPr>
      </w:pPr>
      <w:r w:rsidRPr="00061DD7">
        <w:rPr>
          <w:color w:val="auto"/>
          <w:u w:val="single"/>
        </w:rPr>
        <w:t>(</w:t>
      </w:r>
      <w:r w:rsidR="00D23FD4" w:rsidRPr="00061DD7">
        <w:rPr>
          <w:color w:val="auto"/>
          <w:u w:val="single"/>
        </w:rPr>
        <w:t>f</w:t>
      </w:r>
      <w:r w:rsidRPr="00061DD7">
        <w:rPr>
          <w:color w:val="auto"/>
          <w:u w:val="single"/>
        </w:rPr>
        <w:t xml:space="preserve">) The council, </w:t>
      </w:r>
      <w:r w:rsidR="00782C44" w:rsidRPr="00061DD7">
        <w:rPr>
          <w:color w:val="auto"/>
          <w:u w:val="single"/>
        </w:rPr>
        <w:t xml:space="preserve">vice </w:t>
      </w:r>
      <w:r w:rsidRPr="00061DD7">
        <w:rPr>
          <w:color w:val="auto"/>
          <w:u w:val="single"/>
        </w:rPr>
        <w:t>chancellor, or designee, shall develop procedures for implementing the WVWOW.</w:t>
      </w:r>
    </w:p>
    <w:p w14:paraId="0A715A3B" w14:textId="0EF229CE" w:rsidR="00D23FD4" w:rsidRPr="00061DD7" w:rsidRDefault="00D23FD4" w:rsidP="00D23FD4">
      <w:pPr>
        <w:pStyle w:val="SectionBody"/>
        <w:rPr>
          <w:color w:val="auto"/>
          <w:u w:val="single"/>
        </w:rPr>
      </w:pPr>
      <w:r w:rsidRPr="00061DD7">
        <w:rPr>
          <w:color w:val="auto"/>
          <w:u w:val="single"/>
        </w:rPr>
        <w:t>(g) This section and the WVWOW shall become effective on July 1, 2022.</w:t>
      </w:r>
    </w:p>
    <w:p w14:paraId="3A0C77A5" w14:textId="77777777" w:rsidR="00D23FD4" w:rsidRPr="00061DD7" w:rsidRDefault="00D23FD4" w:rsidP="00D23FD4">
      <w:pPr>
        <w:pStyle w:val="Note"/>
        <w:rPr>
          <w:color w:val="auto"/>
        </w:rPr>
      </w:pPr>
    </w:p>
    <w:p w14:paraId="0B3D1EDD" w14:textId="57A94295" w:rsidR="006865E9" w:rsidRPr="00061DD7" w:rsidRDefault="00CF1DCA" w:rsidP="003A07C5">
      <w:pPr>
        <w:pStyle w:val="Note"/>
        <w:rPr>
          <w:color w:val="auto"/>
        </w:rPr>
      </w:pPr>
      <w:r w:rsidRPr="00061DD7">
        <w:rPr>
          <w:color w:val="auto"/>
        </w:rPr>
        <w:t>NOTE: The</w:t>
      </w:r>
      <w:r w:rsidR="006865E9" w:rsidRPr="00061DD7">
        <w:rPr>
          <w:color w:val="auto"/>
        </w:rPr>
        <w:t xml:space="preserve"> purpose of this bill is to </w:t>
      </w:r>
      <w:r w:rsidR="003A07C5" w:rsidRPr="00061DD7">
        <w:rPr>
          <w:color w:val="auto"/>
        </w:rPr>
        <w:t>create the West Virginia Warranty on Worker (WVWOW) program to provide a warranty to community and technical college graduates and their employers that graduates are competent in the degree, diploma and technical certificate of credit program for which they are trained.  The bill provides the scope of warranty and identifies who may redeem; directs development of procedures; and sets forth an effective date.</w:t>
      </w:r>
    </w:p>
    <w:p w14:paraId="42D5BA3C" w14:textId="77777777" w:rsidR="006865E9" w:rsidRPr="00061DD7" w:rsidRDefault="00AE48A0" w:rsidP="00F35C12">
      <w:pPr>
        <w:pStyle w:val="Note"/>
        <w:rPr>
          <w:color w:val="auto"/>
        </w:rPr>
      </w:pPr>
      <w:r w:rsidRPr="00061DD7">
        <w:rPr>
          <w:color w:val="auto"/>
        </w:rPr>
        <w:t>Strike-throughs indicate language that would be stricken from a heading or the present law and underscoring indicates new language that would be added.</w:t>
      </w:r>
    </w:p>
    <w:sectPr w:rsidR="006865E9" w:rsidRPr="00061DD7" w:rsidSect="006843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E871" w14:textId="77777777" w:rsidR="000B59FE" w:rsidRPr="00B844FE" w:rsidRDefault="000B59FE" w:rsidP="00B844FE">
      <w:r>
        <w:separator/>
      </w:r>
    </w:p>
  </w:endnote>
  <w:endnote w:type="continuationSeparator" w:id="0">
    <w:p w14:paraId="12B2B804" w14:textId="77777777" w:rsidR="000B59FE" w:rsidRPr="00B844FE" w:rsidRDefault="000B59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35A8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874C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695088"/>
      <w:docPartObj>
        <w:docPartGallery w:val="Page Numbers (Bottom of Page)"/>
        <w:docPartUnique/>
      </w:docPartObj>
    </w:sdtPr>
    <w:sdtEndPr>
      <w:rPr>
        <w:noProof/>
      </w:rPr>
    </w:sdtEndPr>
    <w:sdtContent>
      <w:p w14:paraId="738432D2" w14:textId="2BC1650F" w:rsidR="00684330" w:rsidRDefault="006843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613F" w14:textId="77777777" w:rsidR="000B59FE" w:rsidRPr="00B844FE" w:rsidRDefault="000B59FE" w:rsidP="00B844FE">
      <w:r>
        <w:separator/>
      </w:r>
    </w:p>
  </w:footnote>
  <w:footnote w:type="continuationSeparator" w:id="0">
    <w:p w14:paraId="2279811A" w14:textId="77777777" w:rsidR="000B59FE" w:rsidRPr="00B844FE" w:rsidRDefault="000B59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065C" w14:textId="77777777" w:rsidR="002A0269" w:rsidRPr="00B844FE" w:rsidRDefault="009D2EF0">
    <w:pPr>
      <w:pStyle w:val="Header"/>
    </w:pPr>
    <w:sdt>
      <w:sdtPr>
        <w:id w:val="-684364211"/>
        <w:placeholder>
          <w:docPart w:val="A9FAAB6169384354B0463F6F81FF4A12"/>
        </w:placeholder>
        <w:temporary/>
        <w:showingPlcHdr/>
        <w15:appearance w15:val="hidden"/>
      </w:sdtPr>
      <w:sdtEndPr/>
      <w:sdtContent>
        <w:r w:rsidR="00F804BC" w:rsidRPr="00B844FE">
          <w:t>[Type here]</w:t>
        </w:r>
      </w:sdtContent>
    </w:sdt>
    <w:r w:rsidR="002A0269" w:rsidRPr="00B844FE">
      <w:ptab w:relativeTo="margin" w:alignment="left" w:leader="none"/>
    </w:r>
    <w:sdt>
      <w:sdtPr>
        <w:id w:val="-556240388"/>
        <w:placeholder>
          <w:docPart w:val="A9FAAB6169384354B0463F6F81FF4A12"/>
        </w:placeholder>
        <w:temporary/>
        <w:showingPlcHdr/>
        <w15:appearance w15:val="hidden"/>
      </w:sdtPr>
      <w:sdtEndPr/>
      <w:sdtContent>
        <w:r w:rsidR="00F804B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F59D" w14:textId="7F663986" w:rsidR="00E831B3" w:rsidRPr="008C4888" w:rsidRDefault="008C4888" w:rsidP="008C4888">
    <w:pPr>
      <w:pStyle w:val="Header"/>
    </w:pPr>
    <w:r w:rsidRPr="00686E9A">
      <w:t xml:space="preserve">Intr </w:t>
    </w:r>
    <w:sdt>
      <w:sdtPr>
        <w:tag w:val="BNumWH"/>
        <w:id w:val="138549797"/>
        <w:text/>
      </w:sdtPr>
      <w:sdtEndPr/>
      <w:sdtContent>
        <w:r w:rsidR="00D23FD4">
          <w:t>HB</w:t>
        </w: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t>2022R</w:t>
        </w:r>
      </w:sdtContent>
    </w:sdt>
    <w:r w:rsidR="00D23FD4">
      <w:t>1910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FE"/>
    <w:rsid w:val="0000526A"/>
    <w:rsid w:val="00015EB8"/>
    <w:rsid w:val="00061DD7"/>
    <w:rsid w:val="00085D22"/>
    <w:rsid w:val="000B59FE"/>
    <w:rsid w:val="000C5C77"/>
    <w:rsid w:val="000D16AD"/>
    <w:rsid w:val="0010070F"/>
    <w:rsid w:val="0015112E"/>
    <w:rsid w:val="001552E7"/>
    <w:rsid w:val="001566B4"/>
    <w:rsid w:val="001A2874"/>
    <w:rsid w:val="001C279E"/>
    <w:rsid w:val="001D459E"/>
    <w:rsid w:val="001F0F9C"/>
    <w:rsid w:val="0027011C"/>
    <w:rsid w:val="00274200"/>
    <w:rsid w:val="00275740"/>
    <w:rsid w:val="0029335D"/>
    <w:rsid w:val="002A0269"/>
    <w:rsid w:val="002D01BB"/>
    <w:rsid w:val="002D7915"/>
    <w:rsid w:val="00302A28"/>
    <w:rsid w:val="00303684"/>
    <w:rsid w:val="003143F5"/>
    <w:rsid w:val="00314854"/>
    <w:rsid w:val="00375F81"/>
    <w:rsid w:val="00376062"/>
    <w:rsid w:val="003A07C5"/>
    <w:rsid w:val="003C51CD"/>
    <w:rsid w:val="004247A2"/>
    <w:rsid w:val="00470D6E"/>
    <w:rsid w:val="004B2795"/>
    <w:rsid w:val="004C13DD"/>
    <w:rsid w:val="004E3441"/>
    <w:rsid w:val="004F2845"/>
    <w:rsid w:val="00522CDB"/>
    <w:rsid w:val="00551C13"/>
    <w:rsid w:val="00563EC5"/>
    <w:rsid w:val="005A5366"/>
    <w:rsid w:val="005A7D20"/>
    <w:rsid w:val="00637E73"/>
    <w:rsid w:val="00684330"/>
    <w:rsid w:val="006865E9"/>
    <w:rsid w:val="00691F3E"/>
    <w:rsid w:val="00694BFB"/>
    <w:rsid w:val="006A106B"/>
    <w:rsid w:val="006C523D"/>
    <w:rsid w:val="006D4036"/>
    <w:rsid w:val="006E377D"/>
    <w:rsid w:val="006F3704"/>
    <w:rsid w:val="00704CB3"/>
    <w:rsid w:val="00767A96"/>
    <w:rsid w:val="00782C44"/>
    <w:rsid w:val="00797519"/>
    <w:rsid w:val="007C2B4B"/>
    <w:rsid w:val="007E02CF"/>
    <w:rsid w:val="007F1CF5"/>
    <w:rsid w:val="00834EDE"/>
    <w:rsid w:val="008736AA"/>
    <w:rsid w:val="008C4888"/>
    <w:rsid w:val="008D275D"/>
    <w:rsid w:val="008D3358"/>
    <w:rsid w:val="00974998"/>
    <w:rsid w:val="00974F15"/>
    <w:rsid w:val="00980327"/>
    <w:rsid w:val="009B3150"/>
    <w:rsid w:val="009B54F6"/>
    <w:rsid w:val="009D2EF0"/>
    <w:rsid w:val="009F1067"/>
    <w:rsid w:val="00A1293F"/>
    <w:rsid w:val="00A31E01"/>
    <w:rsid w:val="00A527AD"/>
    <w:rsid w:val="00A718CF"/>
    <w:rsid w:val="00A760BE"/>
    <w:rsid w:val="00AC45D3"/>
    <w:rsid w:val="00AE44D3"/>
    <w:rsid w:val="00AE48A0"/>
    <w:rsid w:val="00AE61BE"/>
    <w:rsid w:val="00AE7C3E"/>
    <w:rsid w:val="00B16F25"/>
    <w:rsid w:val="00B24422"/>
    <w:rsid w:val="00B658B6"/>
    <w:rsid w:val="00B80C20"/>
    <w:rsid w:val="00B844FE"/>
    <w:rsid w:val="00BC45F2"/>
    <w:rsid w:val="00BC562B"/>
    <w:rsid w:val="00C13D12"/>
    <w:rsid w:val="00C33014"/>
    <w:rsid w:val="00C33434"/>
    <w:rsid w:val="00C34869"/>
    <w:rsid w:val="00C42EB6"/>
    <w:rsid w:val="00C65E08"/>
    <w:rsid w:val="00C828C3"/>
    <w:rsid w:val="00C85096"/>
    <w:rsid w:val="00CB20EF"/>
    <w:rsid w:val="00CB3560"/>
    <w:rsid w:val="00CD12CB"/>
    <w:rsid w:val="00CD36CF"/>
    <w:rsid w:val="00CF1DCA"/>
    <w:rsid w:val="00D02224"/>
    <w:rsid w:val="00D23FD4"/>
    <w:rsid w:val="00D3443F"/>
    <w:rsid w:val="00D579FC"/>
    <w:rsid w:val="00DE526B"/>
    <w:rsid w:val="00DF199D"/>
    <w:rsid w:val="00E01542"/>
    <w:rsid w:val="00E12FEF"/>
    <w:rsid w:val="00E365F1"/>
    <w:rsid w:val="00E379D8"/>
    <w:rsid w:val="00E62F48"/>
    <w:rsid w:val="00E831B3"/>
    <w:rsid w:val="00EE05C4"/>
    <w:rsid w:val="00EE70CB"/>
    <w:rsid w:val="00F16A8D"/>
    <w:rsid w:val="00F20003"/>
    <w:rsid w:val="00F23775"/>
    <w:rsid w:val="00F33EFF"/>
    <w:rsid w:val="00F35C12"/>
    <w:rsid w:val="00F37F5C"/>
    <w:rsid w:val="00F41CA2"/>
    <w:rsid w:val="00F443C0"/>
    <w:rsid w:val="00F62EFB"/>
    <w:rsid w:val="00F804B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F1DF3D"/>
  <w15:chartTrackingRefBased/>
  <w15:docId w15:val="{ECE474A1-4AA7-4A2C-A2D4-3D71651F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84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0B59FE"/>
    <w:rPr>
      <w:rFonts w:eastAsia="Calibri"/>
      <w:color w:val="000000"/>
    </w:rPr>
  </w:style>
  <w:style w:type="character" w:customStyle="1" w:styleId="SectionHeadingChar">
    <w:name w:val="Section Heading Char"/>
    <w:link w:val="SectionHeading"/>
    <w:rsid w:val="000B59F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8B5AB5C1F43DC96DB88A9C34B5D9F"/>
        <w:category>
          <w:name w:val="General"/>
          <w:gallery w:val="placeholder"/>
        </w:category>
        <w:types>
          <w:type w:val="bbPlcHdr"/>
        </w:types>
        <w:behaviors>
          <w:behavior w:val="content"/>
        </w:behaviors>
        <w:guid w:val="{237BB52D-895C-48B0-9F59-BF59003F951D}"/>
      </w:docPartPr>
      <w:docPartBody>
        <w:p w:rsidR="00365AEE" w:rsidRDefault="00365AEE">
          <w:pPr>
            <w:pStyle w:val="0108B5AB5C1F43DC96DB88A9C34B5D9F"/>
          </w:pPr>
          <w:r w:rsidRPr="00B844FE">
            <w:t>Prefix Text</w:t>
          </w:r>
        </w:p>
      </w:docPartBody>
    </w:docPart>
    <w:docPart>
      <w:docPartPr>
        <w:name w:val="A9FAAB6169384354B0463F6F81FF4A12"/>
        <w:category>
          <w:name w:val="General"/>
          <w:gallery w:val="placeholder"/>
        </w:category>
        <w:types>
          <w:type w:val="bbPlcHdr"/>
        </w:types>
        <w:behaviors>
          <w:behavior w:val="content"/>
        </w:behaviors>
        <w:guid w:val="{2AC78E33-0EE6-48EE-8F1E-3DE229226781}"/>
      </w:docPartPr>
      <w:docPartBody>
        <w:p w:rsidR="00365AEE" w:rsidRDefault="00365AEE">
          <w:pPr>
            <w:pStyle w:val="A9FAAB6169384354B0463F6F81FF4A12"/>
          </w:pPr>
          <w:r w:rsidRPr="00B844FE">
            <w:t>[Type here]</w:t>
          </w:r>
        </w:p>
      </w:docPartBody>
    </w:docPart>
    <w:docPart>
      <w:docPartPr>
        <w:name w:val="735B2C2D610D488290E138828A5988ED"/>
        <w:category>
          <w:name w:val="General"/>
          <w:gallery w:val="placeholder"/>
        </w:category>
        <w:types>
          <w:type w:val="bbPlcHdr"/>
        </w:types>
        <w:behaviors>
          <w:behavior w:val="content"/>
        </w:behaviors>
        <w:guid w:val="{3E99DDAB-7AF2-4775-B93F-F1087807F246}"/>
      </w:docPartPr>
      <w:docPartBody>
        <w:p w:rsidR="00365AEE" w:rsidRDefault="00365AEE">
          <w:pPr>
            <w:pStyle w:val="735B2C2D610D488290E138828A5988ED"/>
          </w:pPr>
          <w:r>
            <w:rPr>
              <w:rStyle w:val="PlaceholderText"/>
            </w:rPr>
            <w:t>Number</w:t>
          </w:r>
        </w:p>
      </w:docPartBody>
    </w:docPart>
    <w:docPart>
      <w:docPartPr>
        <w:name w:val="D7DC457A83004E86A210BFB479EC4DD8"/>
        <w:category>
          <w:name w:val="General"/>
          <w:gallery w:val="placeholder"/>
        </w:category>
        <w:types>
          <w:type w:val="bbPlcHdr"/>
        </w:types>
        <w:behaviors>
          <w:behavior w:val="content"/>
        </w:behaviors>
        <w:guid w:val="{F27CF0A5-6023-42AB-8BE4-9F12C341CB6B}"/>
      </w:docPartPr>
      <w:docPartBody>
        <w:p w:rsidR="00365AEE" w:rsidRDefault="00365AEE">
          <w:pPr>
            <w:pStyle w:val="D7DC457A83004E86A210BFB479EC4DD8"/>
          </w:pPr>
          <w:r w:rsidRPr="00B844FE">
            <w:t>Enter Sponsors Here</w:t>
          </w:r>
        </w:p>
      </w:docPartBody>
    </w:docPart>
    <w:docPart>
      <w:docPartPr>
        <w:name w:val="9F6203B7C5ED4E3FAEEBB05A22F63517"/>
        <w:category>
          <w:name w:val="General"/>
          <w:gallery w:val="placeholder"/>
        </w:category>
        <w:types>
          <w:type w:val="bbPlcHdr"/>
        </w:types>
        <w:behaviors>
          <w:behavior w:val="content"/>
        </w:behaviors>
        <w:guid w:val="{C53E8F86-2757-44D1-B04D-602AC20A09C6}"/>
      </w:docPartPr>
      <w:docPartBody>
        <w:p w:rsidR="00365AEE" w:rsidRDefault="00365AEE">
          <w:pPr>
            <w:pStyle w:val="9F6203B7C5ED4E3FAEEBB05A22F635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EE"/>
    <w:rsid w:val="0036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08B5AB5C1F43DC96DB88A9C34B5D9F">
    <w:name w:val="0108B5AB5C1F43DC96DB88A9C34B5D9F"/>
  </w:style>
  <w:style w:type="paragraph" w:customStyle="1" w:styleId="A9FAAB6169384354B0463F6F81FF4A12">
    <w:name w:val="A9FAAB6169384354B0463F6F81FF4A12"/>
  </w:style>
  <w:style w:type="character" w:styleId="PlaceholderText">
    <w:name w:val="Placeholder Text"/>
    <w:basedOn w:val="DefaultParagraphFont"/>
    <w:uiPriority w:val="99"/>
    <w:semiHidden/>
    <w:rPr>
      <w:color w:val="808080"/>
    </w:rPr>
  </w:style>
  <w:style w:type="paragraph" w:customStyle="1" w:styleId="735B2C2D610D488290E138828A5988ED">
    <w:name w:val="735B2C2D610D488290E138828A5988ED"/>
  </w:style>
  <w:style w:type="paragraph" w:customStyle="1" w:styleId="D7DC457A83004E86A210BFB479EC4DD8">
    <w:name w:val="D7DC457A83004E86A210BFB479EC4DD8"/>
  </w:style>
  <w:style w:type="paragraph" w:customStyle="1" w:styleId="9F6203B7C5ED4E3FAEEBB05A22F63517">
    <w:name w:val="9F6203B7C5ED4E3FAEEBB05A22F63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7</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Joey Sheen</cp:lastModifiedBy>
  <cp:revision>3</cp:revision>
  <cp:lastPrinted>2022-01-29T18:28:00Z</cp:lastPrinted>
  <dcterms:created xsi:type="dcterms:W3CDTF">2022-02-02T23:06:00Z</dcterms:created>
  <dcterms:modified xsi:type="dcterms:W3CDTF">2022-02-02T23:23:00Z</dcterms:modified>
</cp:coreProperties>
</file>